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rFonts w:ascii="Arial" w:cs="Arial" w:eastAsia="Arial" w:hAnsi="Arial"/>
          <w:b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SCHEDULE 15 – REPORTING DOCUMENT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28"/>
          <w:szCs w:val="28"/>
          <w:rtl w:val="0"/>
        </w:rPr>
        <w:t xml:space="preserve">s and</w:t>
      </w: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 DATES</w:t>
      </w:r>
    </w:p>
    <w:p w:rsidR="00000000" w:rsidDel="00000000" w:rsidP="00000000" w:rsidRDefault="00000000" w:rsidRPr="00000000" w14:paraId="00000002">
      <w:pPr>
        <w:tabs>
          <w:tab w:val="left" w:pos="-1440"/>
          <w:tab w:val="left" w:pos="-720"/>
        </w:tabs>
        <w:spacing w:after="120" w:before="12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tabs>
          <w:tab w:val="left" w:pos="-1440"/>
          <w:tab w:val="left" w:pos="-720"/>
        </w:tabs>
        <w:spacing w:after="120" w:before="120" w:line="24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Issues register – </w:t>
      </w:r>
      <w:r w:rsidDel="00000000" w:rsidR="00000000" w:rsidRPr="00000000">
        <w:rPr>
          <w:rFonts w:ascii="Arial" w:cs="Arial" w:eastAsia="Arial" w:hAnsi="Arial"/>
          <w:rtl w:val="0"/>
        </w:rPr>
        <w:t xml:space="preserve">fortnightly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tabs>
          <w:tab w:val="left" w:pos="-1440"/>
          <w:tab w:val="left" w:pos="-720"/>
        </w:tabs>
        <w:spacing w:after="120" w:before="120" w:line="24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Management information dashboard – 5th of </w:t>
      </w:r>
      <w:r w:rsidDel="00000000" w:rsidR="00000000" w:rsidRPr="00000000">
        <w:rPr>
          <w:rFonts w:ascii="Arial" w:cs="Arial" w:eastAsia="Arial" w:hAnsi="Arial"/>
          <w:rtl w:val="0"/>
        </w:rPr>
        <w:t xml:space="preserve">each</w:t>
      </w:r>
      <w:r w:rsidDel="00000000" w:rsidR="00000000" w:rsidRPr="00000000">
        <w:rPr>
          <w:rFonts w:ascii="Arial" w:cs="Arial" w:eastAsia="Arial" w:hAnsi="Arial"/>
          <w:rtl w:val="0"/>
        </w:rPr>
        <w:t xml:space="preserve">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left" w:pos="-1440"/>
          <w:tab w:val="left" w:pos="-720"/>
        </w:tabs>
        <w:spacing w:after="120" w:before="120" w:line="240" w:lineRule="auto"/>
        <w:ind w:left="720" w:hanging="360"/>
        <w:jc w:val="both"/>
        <w:rPr/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Commission report – 5th of each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tabs>
          <w:tab w:val="left" w:pos="-1440"/>
          <w:tab w:val="left" w:pos="-720"/>
        </w:tabs>
        <w:spacing w:after="120" w:before="120" w:line="24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Invoice report – 5th of each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left" w:pos="-1440"/>
          <w:tab w:val="left" w:pos="-720"/>
        </w:tabs>
        <w:spacing w:after="120" w:before="120" w:line="24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Performance report – 5th of each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tabs>
          <w:tab w:val="left" w:pos="-1440"/>
          <w:tab w:val="left" w:pos="-720"/>
        </w:tabs>
        <w:spacing w:after="120" w:before="120" w:line="24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Customer engagement strategy – 5th of each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left" w:pos="-1440"/>
          <w:tab w:val="left" w:pos="-720"/>
        </w:tabs>
        <w:spacing w:after="120" w:before="120" w:line="24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Change of tenancy and termination report – 20th of each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ind w:left="567"/>
        <w:jc w:val="both"/>
        <w:rPr/>
      </w:pPr>
      <w:bookmarkStart w:colFirst="0" w:colLast="0" w:name="_k0c1n6cj8yf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Copies of all reports to be added here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FRAMEWORK AGREEMENT FOR THE SUPPLY OF ENERGY AND ANCILLARY SERVICES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Lot 1 Electricity – Schedule 15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